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6F" w:rsidRDefault="004C686F" w:rsidP="004C686F">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Minimum Necessity Requirements</w:t>
      </w:r>
      <w:bookmarkEnd w:id="0"/>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Basic Responsibility of Covered Entity</w:t>
      </w:r>
      <w:r>
        <w:rPr>
          <w:rFonts w:ascii="inherit" w:hAnsi="inherit" w:cs="Arial"/>
          <w:color w:val="000000"/>
          <w:sz w:val="21"/>
          <w:szCs w:val="21"/>
        </w:rPr>
        <w:br/>
        <w:t>When using or disclosing protected health information (PHI) or when requesting PHI from another covered entity, a covered entity must make reasonable efforts and rely on professional judgment to limit PHI to the minimum necessary to accomplish the intended purpose of the use, disclosure, or request. Covered entities should take into consideration scalability when working with the requirements of minimum necessary.</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General Rule</w:t>
      </w:r>
      <w:r>
        <w:rPr>
          <w:rFonts w:ascii="inherit" w:hAnsi="inherit" w:cs="Arial"/>
          <w:color w:val="000000"/>
          <w:sz w:val="21"/>
          <w:szCs w:val="21"/>
        </w:rPr>
        <w:br/>
        <w:t>The Privacy Rule requires covered entities to develop and implement policies and procedures that govern how the covered entity complies with the minimum necessary requirement. Three areas that covered entities must address are:</w:t>
      </w:r>
      <w:r>
        <w:rPr>
          <w:rFonts w:ascii="inherit" w:hAnsi="inherit" w:cs="Arial"/>
          <w:color w:val="000000"/>
          <w:sz w:val="21"/>
          <w:szCs w:val="21"/>
        </w:rPr>
        <w:br/>
        <w:t>Internal Use of PHI - create policies and procedures that govern the access to PHI by categories of health care information (role based access) that workforce members need to carry out their job responsibilities.</w:t>
      </w:r>
    </w:p>
    <w:p w:rsidR="004C686F" w:rsidRDefault="004C686F" w:rsidP="004C686F">
      <w:pPr>
        <w:numPr>
          <w:ilvl w:val="0"/>
          <w:numId w:val="12"/>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Policy must address when access to the entire medical record is necessary.</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Routine Disclosure - create policies and procedures that govern the routine uses and disclosures of PHI.</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Non-Routine Disclosure - create policies and procedures that detail the criteria required to limit disclosed PHI to that reasonably necessary to accomplish the purpose. Non-Routine Disclosure requests should be reviewed on a case-by-case basis against the established criteria.</w:t>
      </w:r>
    </w:p>
    <w:p w:rsidR="004C686F" w:rsidRDefault="004C686F" w:rsidP="004C686F">
      <w:pPr>
        <w:numPr>
          <w:ilvl w:val="0"/>
          <w:numId w:val="13"/>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Identify a responsible person (Privacy Officer) or board (Privacy Board) to review non-routine disclosures.</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Covered entities that are requested to disclose PHI may rely on the professional judgment of the requester as to determining what the minimum amount of PHI needed. According Office of Civil Rights (OCR), this reliance is permitted when the request is made by:</w:t>
      </w:r>
    </w:p>
    <w:p w:rsidR="004C686F" w:rsidRDefault="004C686F" w:rsidP="004C686F">
      <w:pPr>
        <w:numPr>
          <w:ilvl w:val="0"/>
          <w:numId w:val="1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public official or agency for a disclosure permitted under § 164.512 of the rule.</w:t>
      </w:r>
    </w:p>
    <w:p w:rsidR="004C686F" w:rsidRDefault="004C686F" w:rsidP="004C686F">
      <w:pPr>
        <w:numPr>
          <w:ilvl w:val="0"/>
          <w:numId w:val="1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Another covered entity.</w:t>
      </w:r>
    </w:p>
    <w:p w:rsidR="004C686F" w:rsidRDefault="004C686F" w:rsidP="004C686F">
      <w:pPr>
        <w:numPr>
          <w:ilvl w:val="0"/>
          <w:numId w:val="1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professional who is a workforce member or business associate of the covered entity holding the information.</w:t>
      </w:r>
    </w:p>
    <w:p w:rsidR="004C686F" w:rsidRDefault="004C686F" w:rsidP="004C686F">
      <w:pPr>
        <w:numPr>
          <w:ilvl w:val="0"/>
          <w:numId w:val="1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researcher with appropriate documentation from an Institutional Review Board (IRB) or Privacy Board.</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According to OCR, minimum necessary as defined by the Privacy Rule does not apply to:</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Disclosures to or requests by a health care provider for treatment purposes.</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Disclosures to the individual who is the subject of the information.</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Uses or disclosures made pursuant to an authorization requested by the individual.</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Uses or disclosures required for compliance with the standardized Health Insurance Portability and Accountability Act (HIPAA) transactions.</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Disclosures to the Department of Health and Human Services (HHS) when disclosure of information is required under the rule for enforcement purposes.</w:t>
      </w:r>
    </w:p>
    <w:p w:rsidR="004C686F" w:rsidRDefault="004C686F" w:rsidP="004C686F">
      <w:pPr>
        <w:numPr>
          <w:ilvl w:val="0"/>
          <w:numId w:val="1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Uses or disclosures that are required by other law.</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Steps to Take to Reach Compliance</w:t>
      </w:r>
    </w:p>
    <w:p w:rsidR="004C686F" w:rsidRDefault="004C686F" w:rsidP="004C686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Designate a Privacy Officer</w:t>
      </w:r>
    </w:p>
    <w:p w:rsidR="004C686F" w:rsidRDefault="004C686F" w:rsidP="004C686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lastRenderedPageBreak/>
        <w:t>Privacy Awareness Training for all members of the workforce</w:t>
      </w:r>
    </w:p>
    <w:p w:rsidR="004C686F" w:rsidRDefault="004C686F" w:rsidP="004C686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Understand where PHI is being released</w:t>
      </w:r>
    </w:p>
    <w:p w:rsidR="004C686F" w:rsidRDefault="004C686F" w:rsidP="004C686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Designate owners of information contained in systems</w:t>
      </w:r>
    </w:p>
    <w:p w:rsidR="004C686F" w:rsidRDefault="004C686F" w:rsidP="004C686F">
      <w:pPr>
        <w:numPr>
          <w:ilvl w:val="0"/>
          <w:numId w:val="1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Minimum Necessary policies and procedures:</w:t>
      </w:r>
    </w:p>
    <w:p w:rsidR="004C686F" w:rsidRDefault="004C686F" w:rsidP="004C686F">
      <w:pPr>
        <w:numPr>
          <w:ilvl w:val="1"/>
          <w:numId w:val="1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Internal</w:t>
      </w:r>
    </w:p>
    <w:p w:rsidR="004C686F" w:rsidRDefault="004C686F" w:rsidP="004C686F">
      <w:pPr>
        <w:numPr>
          <w:ilvl w:val="1"/>
          <w:numId w:val="1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Routine</w:t>
      </w:r>
    </w:p>
    <w:p w:rsidR="004C686F" w:rsidRDefault="004C686F" w:rsidP="004C686F">
      <w:pPr>
        <w:numPr>
          <w:ilvl w:val="1"/>
          <w:numId w:val="1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Non-routine</w:t>
      </w:r>
    </w:p>
    <w:p w:rsidR="004C686F" w:rsidRDefault="004C686F" w:rsidP="004C686F">
      <w:pPr>
        <w:numPr>
          <w:ilvl w:val="1"/>
          <w:numId w:val="1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Role-based access</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Frequently Asked Questions</w:t>
      </w:r>
      <w:r>
        <w:rPr>
          <w:rFonts w:ascii="inherit" w:hAnsi="inherit" w:cs="Arial"/>
          <w:color w:val="000000"/>
          <w:sz w:val="21"/>
          <w:szCs w:val="21"/>
        </w:rPr>
        <w:br/>
        <w:t>(Copied from OCR Standards for Privacy of Individually Identifiable Health Information)</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How are covered entities expected to determine what is the minimum necessary information that can be used, disclosed, or requested for a particular purpose?</w:t>
      </w:r>
      <w:r>
        <w:rPr>
          <w:rFonts w:ascii="inherit" w:hAnsi="inherit" w:cs="Arial"/>
          <w:color w:val="000000"/>
          <w:sz w:val="21"/>
          <w:szCs w:val="21"/>
        </w:rPr>
        <w:br/>
        <w:t>A: The Privacy Rule requires a covered entity to make reasonable efforts to limit use, disclosure of, and requests for PHI to the minimum necessary to accomplish the intended purpose. To allow covered entities the flexibility to address their unique circumstances, the rule requires covered entities to make their own assessment of what PHI is reasonably necessary for a particular purpose, given the characteristics of their business and workforce, and to implement policies and procedures accordingly. This is not a strict standard and covered entities need not limit information uses or disclosures to those that are absolutely needed to serve the purpose. Rather, this is a reasonableness standard that calls for an approach consistent with the best practices and guidelines already used by many providers today to limit the unnecessary sharing of medical information.</w:t>
      </w:r>
      <w:r>
        <w:rPr>
          <w:rFonts w:ascii="inherit" w:hAnsi="inherit" w:cs="Arial"/>
          <w:color w:val="000000"/>
          <w:sz w:val="21"/>
          <w:szCs w:val="21"/>
        </w:rPr>
        <w:br/>
        <w:t>The minimum necessary standard is intended to make covered entities evaluate their practices and enhance protections as needed to prevent unnecessary or inappropriate access to PHI. It is intended to reflect and be consistent with, not override, professional judgment and standards. Therefore, we expect that covered entities will utilize the input of prudent professionals involved in health care activities when developing policies and procedures that appropriately will limit access to personal health information without sacrificing the quality of health care.</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Won't the minimum necessary restrictions impede the delivery of quality health care by preventing or hindering necessary exchanges of patient medical information among health care providers involved in treatment?</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 No. Disclosures for treatment purposes (including requests for disclosures) between health care providers are explicitly exempted from the minimum necessary requirements.</w:t>
      </w:r>
      <w:r>
        <w:rPr>
          <w:rFonts w:ascii="inherit" w:hAnsi="inherit" w:cs="Arial"/>
          <w:color w:val="000000"/>
          <w:sz w:val="21"/>
          <w:szCs w:val="21"/>
        </w:rPr>
        <w:br/>
        <w:t>The Privacy Rule provides the covered entity with substantial discretion as to how to implement the minimum necessary standard, and appropriately and reasonably limit access to the use of identifiable health information within the covered entity. The rule recognizes that the covered entity is in the best position to know and determine who in its workforce needs access to personal health information to perform their jobs. Therefore, the covered entity can develop role-based access policies that allow its health care providers and other employees, as appropriate, access to patient information, including entire medical records, for treatment purposes.</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Do the minimum necessary requirements prohibit medical residents, medical students, nursing students, and other medical trainees from accessing patients' medical information in the course of their training?</w:t>
      </w:r>
      <w:r>
        <w:rPr>
          <w:rFonts w:ascii="inherit" w:hAnsi="inherit" w:cs="Arial"/>
          <w:color w:val="000000"/>
          <w:sz w:val="21"/>
          <w:szCs w:val="21"/>
        </w:rPr>
        <w:br/>
        <w:t>A: No. The definition of "health care operations" in the rule provides for "conducting training programs in which students, trainees, or practitioners in areas of health care learn under supervision to practice or improve their skills as health care providers." Covered entities can shape their policies and procedures for minimum necessary uses and disclosures to permit medical trainees access to patients' medical information, including entire medical records.</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Must minimum necessary be applied to disclosures to third parties that are authorized by an individual?</w:t>
      </w:r>
      <w:r>
        <w:rPr>
          <w:rFonts w:ascii="inherit" w:hAnsi="inherit" w:cs="Arial"/>
          <w:color w:val="000000"/>
          <w:sz w:val="21"/>
          <w:szCs w:val="21"/>
        </w:rPr>
        <w:br/>
      </w:r>
      <w:r>
        <w:rPr>
          <w:rFonts w:ascii="inherit" w:hAnsi="inherit" w:cs="Arial"/>
          <w:color w:val="000000"/>
          <w:sz w:val="21"/>
          <w:szCs w:val="21"/>
        </w:rPr>
        <w:lastRenderedPageBreak/>
        <w:t>A: No, unless the authorization was requested by a covered entity for its own purposes. The Privacy Rule exempts from the minimum necessary requirements most uses or disclosures that are authorized by an individual. This includes authorizations covered entities may receive directly from third parties, such as life, disability, or casualty insurers pursuant to the patient's application for or claim under an insurance policy. For example, if a covered health care provider receives an individual's authorization to disclose medical information to a life insurer for underwriting purposes, the provider is permitted to disclose the information requested on the authorization without making any minimum necessary determination. The authorization must meet the requirements of § 164.508.</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However, minimum necessary does apply to authorizations requested by the covered entity for its own purposes (see § 164.508(d), (e), and (f)).</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Are providers required to make a minimum necessary determination to disclose to federal or state agencies, such as the Social Security Administration (SSA) or its affiliated state agencies, for individuals' applications for federal or state benefits?</w:t>
      </w:r>
      <w:r>
        <w:rPr>
          <w:rFonts w:ascii="inherit" w:hAnsi="inherit" w:cs="Arial"/>
          <w:color w:val="000000"/>
          <w:sz w:val="21"/>
          <w:szCs w:val="21"/>
        </w:rPr>
        <w:br/>
        <w:t>A: No. These disclosures must be authorized by an individual and, therefore, are exempt from the minimum necessary requirements. Further, use of the provider's own authorization form is not required. Providers can accept an agency's authorization form as long as it meets the requirements of § 164.508 of the rule. For example, disclosures to SSA (or its affiliated state agencies) for purposes of determining eligibility for disability benefits are currently made subject to an individual's completed SSA authorization form. After the compliance date, the current process may continue subject only to modest changes in the SSA authorization form to conform to the requirements in § 164.508.</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Doesn't the minimum necessary standard conflict with the Transactions standards? Does minimum necessary apply to the standard transactions?</w:t>
      </w:r>
      <w:r>
        <w:rPr>
          <w:rFonts w:ascii="inherit" w:hAnsi="inherit" w:cs="Arial"/>
          <w:color w:val="000000"/>
          <w:sz w:val="21"/>
          <w:szCs w:val="21"/>
        </w:rPr>
        <w:br/>
        <w:t>A: No, because the Privacy Rule exempts from the minimum necessary standard any uses or disclosures that are required for compliance with the applicable requirements of the subchapter. This includes all data elements that are required or situationally required in the standard transactions. However, in many cases, covered entities have significant discretion as to the information included in these transactions. This standard does apply to those optional data elements.</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Does the rule strictly prohibit use, disclosure, or requests of an entire medical record? Does the rule prevent use, disclosure, or requests of entire medical records without case-by-case justification?</w:t>
      </w:r>
      <w:r>
        <w:rPr>
          <w:rFonts w:ascii="inherit" w:hAnsi="inherit" w:cs="Arial"/>
          <w:color w:val="000000"/>
          <w:sz w:val="21"/>
          <w:szCs w:val="21"/>
        </w:rPr>
        <w:br/>
        <w:t>A: No. The Privacy Rule does not prohibit use, disclosure, or requests of an entire medical record. A covered entity may use, disclose, or request an entire medical record, without a case-by-case justification, if the covered entity has documented in its policies and procedures that the entire medical record is the amount reasonably necessary for certain identified purposes. For uses, the policies and procedures would identify those persons or classes of person in the workforce that need to see the entire medical record and the conditions, if any, that are appropriate for such access. Policies and procedures for routine disclosures and requests and the criteria used for non-routine disclosures would identify the circumstances under which disclosing or requesting the entire medical record is reasonably necessary for particular purposes. In making non-routine requests, the covered entity may also establish and utilize criteria to assist in determining when to request the entire medical record.</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Privacy Rule does not require that a justification be provided with respect to each distinct medical record.</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Finally, no justification is needed in those instances where the minimum necessary standard does not apply, such as disclosures to or requests by a health care provider for treatment or disclosures to the individual.</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In limiting access, are covered entities required to completely restructure existing workflow systems, including redesigns of office space and upgrades of computer systems, in order to comply with the minimum necessary requirements?</w:t>
      </w:r>
      <w:r>
        <w:rPr>
          <w:rFonts w:ascii="inherit" w:hAnsi="inherit" w:cs="Arial"/>
          <w:color w:val="000000"/>
          <w:sz w:val="21"/>
          <w:szCs w:val="21"/>
        </w:rPr>
        <w:br/>
        <w:t xml:space="preserve">A: No. The basic standard for minimum necessary uses requires that covered entities make reasonable </w:t>
      </w:r>
      <w:r>
        <w:rPr>
          <w:rFonts w:ascii="inherit" w:hAnsi="inherit" w:cs="Arial"/>
          <w:color w:val="000000"/>
          <w:sz w:val="21"/>
          <w:szCs w:val="21"/>
        </w:rPr>
        <w:lastRenderedPageBreak/>
        <w:t>efforts to limit access to PHI to those in the workforce that need access based on their roles in the covered entity.</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Department generally does not consider facility redesigns as necessary to meet the reasonableness standard for minimum necessary uses. However, covered entities may need to make certain adjustments to their facilities to minimize access, such as isolating and locking file cabinets or records rooms, or providing additional security, such as passwords, on computers maintaining personal information.</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Covered entities should also take into account their ability to configure their record systems to allow access to only certain fields, and the practicality of organizing systems to allow this capacity. For example, it may not be reasonable for a small, solo practitioner who has largely a paper-based records system to limit access of employees with certain functions to only limited fields in a patient record, while other employees have access to the complete record. Alternatively, a hospital with an electronic patient record system may reasonably implement such controls, and therefore, may choose to limit access in this manner to comply with the rule.</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Do the minimum necessary requirements prohibit covered entities from maintaining patient medical charts at bedside, require that covered entities shred empty prescription vials, or require that X-ray light boards be isolated?</w:t>
      </w:r>
      <w:r>
        <w:rPr>
          <w:rFonts w:ascii="inherit" w:hAnsi="inherit" w:cs="Arial"/>
          <w:color w:val="000000"/>
          <w:sz w:val="21"/>
          <w:szCs w:val="21"/>
        </w:rPr>
        <w:br/>
        <w:t>A: No. The minimum necessary standards do not require that covered entities take any of these specific measures. Covered entities must, in accordance with other provisions of the Privacy Rule, take reasonable precautions to prevent inadvertent or unnecessary disclosures. For example, while the Privacy Rule does not require that X-ray boards be totally isolated from all other functions, it does require covered entities to take reasonable precautions to protect X-rays from being accessible to the public. We understand that these and similar matters are of special concern to many covered entities, and we will propose modifications to the rule to increase covered entities' confidence that these practices are not prohibited.</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Will doctors' and physicians' offices be allowed to continue using sign-in sheets in waiting rooms?</w:t>
      </w:r>
      <w:r>
        <w:rPr>
          <w:rFonts w:ascii="inherit" w:hAnsi="inherit" w:cs="Arial"/>
          <w:color w:val="000000"/>
          <w:sz w:val="21"/>
          <w:szCs w:val="21"/>
        </w:rPr>
        <w:br/>
        <w:t>A: We did not intend to prohibit the use of sign-in sheets, but understand that the Privacy Rule is ambiguous about this common practice. We, therefore, intend to propose modifications to the rule to clarify that this and similar practices are permissible.</w:t>
      </w:r>
    </w:p>
    <w:p w:rsidR="004C686F" w:rsidRDefault="004C686F" w:rsidP="004C686F">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What happens when a covered entity believes that a request is seeking more than the minimum necessary PHI?</w:t>
      </w:r>
      <w:r>
        <w:rPr>
          <w:rFonts w:ascii="inherit" w:hAnsi="inherit" w:cs="Arial"/>
          <w:color w:val="000000"/>
          <w:sz w:val="21"/>
          <w:szCs w:val="21"/>
        </w:rPr>
        <w:br/>
        <w:t>A: In such a situation, the Privacy Rule requires a covered entity to limit the disclosure to the minimum necessary as determined by the disclosing entity. Where the rule permits covered entities to rely on the judgment of the person requesting the information, and if such reliance is reasonable despite the covered entity's concerns, the covered entity may make the disclosure as requested.</w:t>
      </w:r>
    </w:p>
    <w:p w:rsidR="004C686F" w:rsidRDefault="004C686F" w:rsidP="004C686F">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Nothing in the Privacy Rule prevents a covered entity from discussing its concerns with the person making the request, and negotiating an information exchange that meets the needs of both parties. Such discussions occur today and may continue after the compliance date of the Privacy Rule.</w:t>
      </w:r>
    </w:p>
    <w:p w:rsidR="00E609B1" w:rsidRPr="004C686F" w:rsidRDefault="00E609B1" w:rsidP="004C686F"/>
    <w:sectPr w:rsidR="00E609B1" w:rsidRPr="004C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8F"/>
    <w:multiLevelType w:val="multilevel"/>
    <w:tmpl w:val="3F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1AFB"/>
    <w:multiLevelType w:val="multilevel"/>
    <w:tmpl w:val="77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6CFC"/>
    <w:multiLevelType w:val="multilevel"/>
    <w:tmpl w:val="BAB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30AAE"/>
    <w:multiLevelType w:val="multilevel"/>
    <w:tmpl w:val="AE8A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E3A12"/>
    <w:multiLevelType w:val="multilevel"/>
    <w:tmpl w:val="264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24E16"/>
    <w:multiLevelType w:val="multilevel"/>
    <w:tmpl w:val="EAC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54007"/>
    <w:multiLevelType w:val="multilevel"/>
    <w:tmpl w:val="2CB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918B5"/>
    <w:multiLevelType w:val="multilevel"/>
    <w:tmpl w:val="397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B4B92"/>
    <w:multiLevelType w:val="multilevel"/>
    <w:tmpl w:val="EAB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E3FEA"/>
    <w:multiLevelType w:val="multilevel"/>
    <w:tmpl w:val="4AF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81C95"/>
    <w:multiLevelType w:val="multilevel"/>
    <w:tmpl w:val="84C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2173A"/>
    <w:multiLevelType w:val="multilevel"/>
    <w:tmpl w:val="625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B7D50"/>
    <w:multiLevelType w:val="multilevel"/>
    <w:tmpl w:val="57E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B2EFC"/>
    <w:multiLevelType w:val="multilevel"/>
    <w:tmpl w:val="8D8E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9"/>
  </w:num>
  <w:num w:numId="5">
    <w:abstractNumId w:val="15"/>
  </w:num>
  <w:num w:numId="6">
    <w:abstractNumId w:val="5"/>
  </w:num>
  <w:num w:numId="7">
    <w:abstractNumId w:val="0"/>
  </w:num>
  <w:num w:numId="8">
    <w:abstractNumId w:val="14"/>
  </w:num>
  <w:num w:numId="9">
    <w:abstractNumId w:val="2"/>
  </w:num>
  <w:num w:numId="10">
    <w:abstractNumId w:val="6"/>
  </w:num>
  <w:num w:numId="11">
    <w:abstractNumId w:val="12"/>
  </w:num>
  <w:num w:numId="12">
    <w:abstractNumId w:val="13"/>
  </w:num>
  <w:num w:numId="13">
    <w:abstractNumId w:val="10"/>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539B9"/>
    <w:rsid w:val="00101C0E"/>
    <w:rsid w:val="00202F41"/>
    <w:rsid w:val="003E3883"/>
    <w:rsid w:val="004C686F"/>
    <w:rsid w:val="00A55E0B"/>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2017-07-27T17:50:00Z</dcterms:created>
  <dcterms:modified xsi:type="dcterms:W3CDTF">2017-07-27T17:50:00Z</dcterms:modified>
</cp:coreProperties>
</file>